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2398" w:rsidRPr="00AE2413" w:rsidRDefault="00000000">
      <w:pPr>
        <w:jc w:val="center"/>
        <w:rPr>
          <w:rFonts w:ascii="Ink Free" w:hAnsi="Ink Free"/>
          <w:sz w:val="32"/>
          <w:szCs w:val="32"/>
        </w:rPr>
      </w:pPr>
      <w:r w:rsidRPr="00AE2413">
        <w:rPr>
          <w:rFonts w:ascii="Ink Free" w:hAnsi="Ink Free"/>
          <w:b/>
          <w:bCs/>
          <w:sz w:val="32"/>
          <w:szCs w:val="32"/>
        </w:rPr>
        <w:t xml:space="preserve">Thimk a Hed: Navigating the </w:t>
      </w:r>
      <w:proofErr w:type="gramStart"/>
      <w:r w:rsidRPr="00AE2413">
        <w:rPr>
          <w:rFonts w:ascii="Ink Free" w:hAnsi="Ink Free"/>
          <w:b/>
          <w:bCs/>
          <w:sz w:val="32"/>
          <w:szCs w:val="32"/>
        </w:rPr>
        <w:t>Many</w:t>
      </w:r>
      <w:proofErr w:type="gramEnd"/>
      <w:r w:rsidRPr="00AE2413">
        <w:rPr>
          <w:rFonts w:ascii="Ink Free" w:hAnsi="Ink Free"/>
          <w:b/>
          <w:bCs/>
          <w:sz w:val="32"/>
          <w:szCs w:val="32"/>
        </w:rPr>
        <w:t xml:space="preserve"> Factors of Risk</w:t>
      </w:r>
    </w:p>
    <w:p w14:paraId="3FF382E0" w14:textId="77777777" w:rsidR="000F2398" w:rsidRDefault="000F2398">
      <w:pPr>
        <w:ind w:left="720"/>
      </w:pPr>
    </w:p>
    <w:p w14:paraId="00000003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In a world where uncertainty lurks around every corner, the adage "think ahead" takes on new urgency. But </w:t>
      </w:r>
      <w:proofErr w:type="gramStart"/>
      <w:r w:rsidRPr="00AE2413">
        <w:rPr>
          <w:rFonts w:ascii="Ink Free" w:hAnsi="Ink Free"/>
          <w:sz w:val="28"/>
          <w:szCs w:val="28"/>
        </w:rPr>
        <w:t>let's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twist it a bit for fun—welcome to "Thimk a Hed," a playful nod to those classic misspelled signs that remind us to pause and reflect. 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not just a joke; 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a metaphor for how we often misspell or misjudge risk in our lives. Whether in business, personal finance, or everyday decisions, risk </w:t>
      </w:r>
      <w:proofErr w:type="gramStart"/>
      <w:r w:rsidRPr="00AE2413">
        <w:rPr>
          <w:rFonts w:ascii="Ink Free" w:hAnsi="Ink Free"/>
          <w:sz w:val="28"/>
          <w:szCs w:val="28"/>
        </w:rPr>
        <w:t>isn't</w:t>
      </w:r>
      <w:proofErr w:type="gramEnd"/>
      <w:r w:rsidRPr="00AE2413">
        <w:rPr>
          <w:rFonts w:ascii="Ink Free" w:hAnsi="Ink Free"/>
          <w:sz w:val="28"/>
          <w:szCs w:val="28"/>
        </w:rPr>
        <w:t xml:space="preserve"> a monolith. 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a multifaceted beast influenced by tolerance, endurance, understanding, tenure, and extent. </w:t>
      </w:r>
    </w:p>
    <w:p w14:paraId="00000004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In this post, </w:t>
      </w:r>
      <w:proofErr w:type="gramStart"/>
      <w:r w:rsidRPr="00AE2413">
        <w:rPr>
          <w:rFonts w:ascii="Ink Free" w:hAnsi="Ink Free"/>
          <w:sz w:val="28"/>
          <w:szCs w:val="28"/>
        </w:rPr>
        <w:t>we'll</w:t>
      </w:r>
      <w:proofErr w:type="gramEnd"/>
      <w:r w:rsidRPr="00AE2413">
        <w:rPr>
          <w:rFonts w:ascii="Ink Free" w:hAnsi="Ink Free"/>
          <w:sz w:val="28"/>
          <w:szCs w:val="28"/>
        </w:rPr>
        <w:t xml:space="preserve"> unpack these factors, exploring how they interplay to shape our approach to uncertainty. By the end, you might just "thimk" twice before leaping.</w:t>
      </w:r>
    </w:p>
    <w:p w14:paraId="00000005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First up: risk tolerance. This is the emotional and psychological threshold for how </w:t>
      </w:r>
      <w:proofErr w:type="gramStart"/>
      <w:r w:rsidRPr="00AE2413">
        <w:rPr>
          <w:rFonts w:ascii="Ink Free" w:hAnsi="Ink Free"/>
          <w:sz w:val="28"/>
          <w:szCs w:val="28"/>
        </w:rPr>
        <w:t>much</w:t>
      </w:r>
      <w:proofErr w:type="gramEnd"/>
      <w:r w:rsidRPr="00AE2413">
        <w:rPr>
          <w:rFonts w:ascii="Ink Free" w:hAnsi="Ink Free"/>
          <w:sz w:val="28"/>
          <w:szCs w:val="28"/>
        </w:rPr>
        <w:t xml:space="preserve"> uncertainty you can stomach without losing sleep. Think of it as your personal risk thermostat. </w:t>
      </w:r>
      <w:proofErr w:type="gramStart"/>
      <w:r w:rsidRPr="00AE2413">
        <w:rPr>
          <w:rFonts w:ascii="Ink Free" w:hAnsi="Ink Free"/>
          <w:sz w:val="28"/>
          <w:szCs w:val="28"/>
        </w:rPr>
        <w:t>Some</w:t>
      </w:r>
      <w:proofErr w:type="gramEnd"/>
      <w:r w:rsidRPr="00AE2413">
        <w:rPr>
          <w:rFonts w:ascii="Ink Free" w:hAnsi="Ink Free"/>
          <w:sz w:val="28"/>
          <w:szCs w:val="28"/>
        </w:rPr>
        <w:t xml:space="preserve"> folks are high-tolerance thrill-seekers, like day traders betting big on volatile stocks, thriving on the adrenaline of potential gains. Others are low-tolerance conservatives, preferring the steady hum of bonds or savings accounts. Tolerance </w:t>
      </w:r>
      <w:proofErr w:type="gramStart"/>
      <w:r w:rsidRPr="00AE2413">
        <w:rPr>
          <w:rFonts w:ascii="Ink Free" w:hAnsi="Ink Free"/>
          <w:sz w:val="28"/>
          <w:szCs w:val="28"/>
        </w:rPr>
        <w:t>isn't</w:t>
      </w:r>
      <w:proofErr w:type="gramEnd"/>
      <w:r w:rsidRPr="00AE2413">
        <w:rPr>
          <w:rFonts w:ascii="Ink Free" w:hAnsi="Ink Free"/>
          <w:sz w:val="28"/>
          <w:szCs w:val="28"/>
        </w:rPr>
        <w:t xml:space="preserve"> static; 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shaped by life stages. A young entrepreneur might tolerate massive startup risks, envisioning unicorn status, while a retiree dials it down to preserve nest eggs. Misjudging your tolerance can lead to disaster—overextend, and </w:t>
      </w:r>
      <w:proofErr w:type="gramStart"/>
      <w:r w:rsidRPr="00AE2413">
        <w:rPr>
          <w:rFonts w:ascii="Ink Free" w:hAnsi="Ink Free"/>
          <w:sz w:val="28"/>
          <w:szCs w:val="28"/>
        </w:rPr>
        <w:t>you're</w:t>
      </w:r>
      <w:proofErr w:type="gramEnd"/>
      <w:r w:rsidRPr="00AE2413">
        <w:rPr>
          <w:rFonts w:ascii="Ink Free" w:hAnsi="Ink Free"/>
          <w:sz w:val="28"/>
          <w:szCs w:val="28"/>
        </w:rPr>
        <w:t xml:space="preserve"> in panic mode; underestimate, and you miss opportunities. The key? Self-assessment tools like questionnaires from financial advisors can help calibrate it. Remember, tolerance is about alignment: match your risks to your comfort zone, and </w:t>
      </w:r>
      <w:proofErr w:type="gramStart"/>
      <w:r w:rsidRPr="00AE2413">
        <w:rPr>
          <w:rFonts w:ascii="Ink Free" w:hAnsi="Ink Free"/>
          <w:sz w:val="28"/>
          <w:szCs w:val="28"/>
        </w:rPr>
        <w:t>you'll</w:t>
      </w:r>
      <w:proofErr w:type="gramEnd"/>
      <w:r w:rsidRPr="00AE2413">
        <w:rPr>
          <w:rFonts w:ascii="Ink Free" w:hAnsi="Ink Free"/>
          <w:sz w:val="28"/>
          <w:szCs w:val="28"/>
        </w:rPr>
        <w:t xml:space="preserve"> navigate turbulence with grace.</w:t>
      </w:r>
    </w:p>
    <w:p w14:paraId="00000006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Closely tied is endurance, the stamina to weather risks over time. Tolerance might get you in the door, but endurance keeps you standing when storms hit. 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the difference between a sprinter and a marathoner. In investing, for instance, market dips test endurance—can you hold through a recession without selling low? Endurance builds from experience and mindset. Techniques like diversification spread risks, turning a potential knockout punch into a series of jabs. In personal life, endurance means sticking with a challenging career pivot despite initial failures. Without it, even low-risk paths feel exhausting. Building endurance involves mental training: mindfulness practices or scenario planning can fortify your resolve. As Warren </w:t>
      </w:r>
      <w:r w:rsidRPr="00AE2413">
        <w:rPr>
          <w:rFonts w:ascii="Ink Free" w:hAnsi="Ink Free"/>
          <w:sz w:val="28"/>
          <w:szCs w:val="28"/>
        </w:rPr>
        <w:lastRenderedPageBreak/>
        <w:t>Buffett quips, the stock market transfers money from the impatient to the patient—endurance pays dividends.</w:t>
      </w:r>
    </w:p>
    <w:p w14:paraId="00000007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Now, understanding: the intellectual grasp of risks involved. This factor is the flashlight in the dark, illuminating probabilities and consequences. Without understanding, </w:t>
      </w:r>
      <w:proofErr w:type="gramStart"/>
      <w:r w:rsidRPr="00AE2413">
        <w:rPr>
          <w:rFonts w:ascii="Ink Free" w:hAnsi="Ink Free"/>
          <w:sz w:val="28"/>
          <w:szCs w:val="28"/>
        </w:rPr>
        <w:t>you're</w:t>
      </w:r>
      <w:proofErr w:type="gramEnd"/>
      <w:r w:rsidRPr="00AE2413">
        <w:rPr>
          <w:rFonts w:ascii="Ink Free" w:hAnsi="Ink Free"/>
          <w:sz w:val="28"/>
          <w:szCs w:val="28"/>
        </w:rPr>
        <w:t xml:space="preserve"> gambling blind. Take cybersecurity risks in business—</w:t>
      </w:r>
      <w:proofErr w:type="gramStart"/>
      <w:r w:rsidRPr="00AE2413">
        <w:rPr>
          <w:rFonts w:ascii="Ink Free" w:hAnsi="Ink Free"/>
          <w:sz w:val="28"/>
          <w:szCs w:val="28"/>
        </w:rPr>
        <w:t>many</w:t>
      </w:r>
      <w:proofErr w:type="gramEnd"/>
      <w:r w:rsidRPr="00AE2413">
        <w:rPr>
          <w:rFonts w:ascii="Ink Free" w:hAnsi="Ink Free"/>
          <w:sz w:val="28"/>
          <w:szCs w:val="28"/>
        </w:rPr>
        <w:t xml:space="preserve"> executives tolerate them without grasping phishing tactics or data breach costs. Education bridges this gap: reading reports from sources like the World Economic Forum's Global Risks Report or taking online courses on probability. Understanding evolves with data; tools like Monte Carlo simulations model outcomes, turning abstract risks into tangible forecasts. But beware overconfidence—Dunning-Kruger effect warns that shallow understanding inflates tolerance falsely. True mastery involves humility: consult experts, analyze historical precedents, and question assumptions. </w:t>
      </w:r>
      <w:proofErr w:type="gramStart"/>
      <w:r w:rsidRPr="00AE2413">
        <w:rPr>
          <w:rFonts w:ascii="Ink Free" w:hAnsi="Ink Free"/>
          <w:sz w:val="28"/>
          <w:szCs w:val="28"/>
        </w:rPr>
        <w:t>In essence, understanding</w:t>
      </w:r>
      <w:proofErr w:type="gramEnd"/>
      <w:r w:rsidRPr="00AE2413">
        <w:rPr>
          <w:rFonts w:ascii="Ink Free" w:hAnsi="Ink Free"/>
          <w:sz w:val="28"/>
          <w:szCs w:val="28"/>
        </w:rPr>
        <w:t xml:space="preserve"> transforms risk from foe to navigable terrain.</w:t>
      </w:r>
    </w:p>
    <w:p w14:paraId="00000008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Tenure adds a temporal layer, referring to the length of your exposure or experience in a risky domain. Newbies often underestimate risks due to inexperience, while veterans develop intuition honed by years. In careers, short tenure might mean higher job-switch risks, but long tenure could breed complacency, missing disruptive innovations. Think of airline pilots: their tenure correlates with safer flights, as accumulated hours refine risk judgment. Building tenure </w:t>
      </w:r>
      <w:proofErr w:type="gramStart"/>
      <w:r w:rsidRPr="00AE2413">
        <w:rPr>
          <w:rFonts w:ascii="Ink Free" w:hAnsi="Ink Free"/>
          <w:sz w:val="28"/>
          <w:szCs w:val="28"/>
        </w:rPr>
        <w:t>isn't</w:t>
      </w:r>
      <w:proofErr w:type="gramEnd"/>
      <w:r w:rsidRPr="00AE2413">
        <w:rPr>
          <w:rFonts w:ascii="Ink Free" w:hAnsi="Ink Free"/>
          <w:sz w:val="28"/>
          <w:szCs w:val="28"/>
        </w:rPr>
        <w:t xml:space="preserve"> </w:t>
      </w:r>
      <w:proofErr w:type="gramStart"/>
      <w:r w:rsidRPr="00AE2413">
        <w:rPr>
          <w:rFonts w:ascii="Ink Free" w:hAnsi="Ink Free"/>
          <w:sz w:val="28"/>
          <w:szCs w:val="28"/>
        </w:rPr>
        <w:t>just about time</w:t>
      </w:r>
      <w:proofErr w:type="gramEnd"/>
      <w:r w:rsidRPr="00AE2413">
        <w:rPr>
          <w:rFonts w:ascii="Ink Free" w:hAnsi="Ink Free"/>
          <w:sz w:val="28"/>
          <w:szCs w:val="28"/>
        </w:rPr>
        <w:t>—</w:t>
      </w:r>
      <w:proofErr w:type="gramStart"/>
      <w:r w:rsidRPr="00AE2413">
        <w:rPr>
          <w:rFonts w:ascii="Ink Free" w:hAnsi="Ink Free"/>
          <w:sz w:val="28"/>
          <w:szCs w:val="28"/>
        </w:rPr>
        <w:t>it's</w:t>
      </w:r>
      <w:proofErr w:type="gramEnd"/>
      <w:r w:rsidRPr="00AE2413">
        <w:rPr>
          <w:rFonts w:ascii="Ink Free" w:hAnsi="Ink Free"/>
          <w:sz w:val="28"/>
          <w:szCs w:val="28"/>
        </w:rPr>
        <w:t xml:space="preserve"> deliberate practice. Mentorship accelerates it, compressing years into months. However, tenure can ossify; fresh perspectives from diverse teams prevent stagnation. Balancing tenure with adaptability ensures risks </w:t>
      </w:r>
      <w:proofErr w:type="gramStart"/>
      <w:r w:rsidRPr="00AE2413">
        <w:rPr>
          <w:rFonts w:ascii="Ink Free" w:hAnsi="Ink Free"/>
          <w:sz w:val="28"/>
          <w:szCs w:val="28"/>
        </w:rPr>
        <w:t>are assessed</w:t>
      </w:r>
      <w:proofErr w:type="gramEnd"/>
      <w:r w:rsidRPr="00AE2413">
        <w:rPr>
          <w:rFonts w:ascii="Ink Free" w:hAnsi="Ink Free"/>
          <w:sz w:val="28"/>
          <w:szCs w:val="28"/>
        </w:rPr>
        <w:t xml:space="preserve"> with wisdom, not just longevity.</w:t>
      </w:r>
    </w:p>
    <w:p w14:paraId="00000009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>Finally, extent: the scale and scope of the risk itself. This factor measures breadth—does the risk affect one asset or your entire portfolio? Localized risks, like a single stock dip, have limited extent, while systemic ones, like a global pandemic, sprawl widely. Extent influences all other factors: high-extent risks demand greater endurance and understanding. In environmental contexts, climate change's vast extent requires collective tolerance beyond individuals. Managing extent involves scoping: use risk matrices to plot likelihood versus impact, prioritizing high-extent threats. Mitigation strategies, like insurance or hedging, contain extent, turning potential catastrophes into manageable blips.</w:t>
      </w:r>
    </w:p>
    <w:p w14:paraId="0000000A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lastRenderedPageBreak/>
        <w:t>These factors—tolerance, endurance, understanding, tenure, and extent—</w:t>
      </w:r>
      <w:proofErr w:type="gramStart"/>
      <w:r w:rsidRPr="00AE2413">
        <w:rPr>
          <w:rFonts w:ascii="Ink Free" w:hAnsi="Ink Free"/>
          <w:sz w:val="28"/>
          <w:szCs w:val="28"/>
        </w:rPr>
        <w:t>don't</w:t>
      </w:r>
      <w:proofErr w:type="gramEnd"/>
      <w:r w:rsidRPr="00AE2413">
        <w:rPr>
          <w:rFonts w:ascii="Ink Free" w:hAnsi="Ink Free"/>
          <w:sz w:val="28"/>
          <w:szCs w:val="28"/>
        </w:rPr>
        <w:t xml:space="preserve"> operate in silos. They weave a tapestry: high understanding boosts tolerance, while tenure enhances endurance. In "Thimk a Hed" spirit, the joke reminds us that hasty judgments (or spellings) amplify risks. </w:t>
      </w:r>
    </w:p>
    <w:p w14:paraId="0000000B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To thrive, integrate them holistically. Start with self-reflection: audit your risks across life domains. Seek balance: too much tolerance without understanding is reckless; endless endurance sans extent awareness is futile. </w:t>
      </w:r>
    </w:p>
    <w:p w14:paraId="0000000C" w14:textId="77777777" w:rsidR="000F2398" w:rsidRPr="00AE2413" w:rsidRDefault="00000000" w:rsidP="00AE2413">
      <w:pPr>
        <w:spacing w:line="276" w:lineRule="auto"/>
        <w:ind w:left="720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t xml:space="preserve">In closing, risk </w:t>
      </w:r>
      <w:proofErr w:type="gramStart"/>
      <w:r w:rsidRPr="00AE2413">
        <w:rPr>
          <w:rFonts w:ascii="Ink Free" w:hAnsi="Ink Free"/>
          <w:sz w:val="28"/>
          <w:szCs w:val="28"/>
        </w:rPr>
        <w:t>isn't</w:t>
      </w:r>
      <w:proofErr w:type="gramEnd"/>
      <w:r w:rsidRPr="00AE2413">
        <w:rPr>
          <w:rFonts w:ascii="Ink Free" w:hAnsi="Ink Free"/>
          <w:sz w:val="28"/>
          <w:szCs w:val="28"/>
        </w:rPr>
        <w:t xml:space="preserve"> to </w:t>
      </w:r>
      <w:proofErr w:type="gramStart"/>
      <w:r w:rsidRPr="00AE2413">
        <w:rPr>
          <w:rFonts w:ascii="Ink Free" w:hAnsi="Ink Free"/>
          <w:sz w:val="28"/>
          <w:szCs w:val="28"/>
        </w:rPr>
        <w:t>be feared</w:t>
      </w:r>
      <w:proofErr w:type="gramEnd"/>
      <w:r w:rsidRPr="00AE2413">
        <w:rPr>
          <w:rFonts w:ascii="Ink Free" w:hAnsi="Ink Free"/>
          <w:sz w:val="28"/>
          <w:szCs w:val="28"/>
        </w:rPr>
        <w:t xml:space="preserve"> but respected. By mastering these factors, you "thimk a hed" effectively, turning uncertainty into opportunity. Whether scaling a business or planning retirement, remember: the best risks </w:t>
      </w:r>
      <w:proofErr w:type="gramStart"/>
      <w:r w:rsidRPr="00AE2413">
        <w:rPr>
          <w:rFonts w:ascii="Ink Free" w:hAnsi="Ink Free"/>
          <w:sz w:val="28"/>
          <w:szCs w:val="28"/>
        </w:rPr>
        <w:t>are calculated</w:t>
      </w:r>
      <w:proofErr w:type="gramEnd"/>
      <w:r w:rsidRPr="00AE2413">
        <w:rPr>
          <w:rFonts w:ascii="Ink Free" w:hAnsi="Ink Free"/>
          <w:sz w:val="28"/>
          <w:szCs w:val="28"/>
        </w:rPr>
        <w:t xml:space="preserve">, not capricious. So, next time you face a fork in the road, pause, assess, and proceed with eyes wide open. After all, a little humor—and </w:t>
      </w:r>
      <w:proofErr w:type="gramStart"/>
      <w:r w:rsidRPr="00AE2413">
        <w:rPr>
          <w:rFonts w:ascii="Ink Free" w:hAnsi="Ink Free"/>
          <w:sz w:val="28"/>
          <w:szCs w:val="28"/>
        </w:rPr>
        <w:t>a lot of</w:t>
      </w:r>
      <w:proofErr w:type="gramEnd"/>
      <w:r w:rsidRPr="00AE2413">
        <w:rPr>
          <w:rFonts w:ascii="Ink Free" w:hAnsi="Ink Free"/>
          <w:sz w:val="28"/>
          <w:szCs w:val="28"/>
        </w:rPr>
        <w:t xml:space="preserve"> foresight—goes a long way.</w:t>
      </w:r>
    </w:p>
    <w:p w14:paraId="0000000D" w14:textId="77777777" w:rsidR="000F2398" w:rsidRPr="00AE2413" w:rsidRDefault="00000000" w:rsidP="00AE2413">
      <w:pPr>
        <w:spacing w:line="276" w:lineRule="auto"/>
        <w:rPr>
          <w:rFonts w:ascii="Ink Free" w:hAnsi="Ink Free"/>
          <w:sz w:val="28"/>
          <w:szCs w:val="28"/>
        </w:rPr>
      </w:pPr>
      <w:r w:rsidRPr="00AE2413">
        <w:rPr>
          <w:rFonts w:ascii="Ink Free" w:hAnsi="Ink Free"/>
          <w:sz w:val="28"/>
          <w:szCs w:val="28"/>
        </w:rPr>
        <w:br/>
      </w:r>
    </w:p>
    <w:sectPr w:rsidR="000F2398" w:rsidRPr="00AE2413">
      <w:pgSz w:w="12240" w:h="15840"/>
      <w:pgMar w:top="144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319584C-8008-4C8B-BC5C-656A20C0CA0C}"/>
    <w:embedBold r:id="rId2" w:fontKey="{D596348F-E11E-499F-B26D-32DBD0F3A715}"/>
    <w:embedItalic r:id="rId3" w:fontKey="{EEF9F283-5E09-4740-9366-87B1A1E77F92}"/>
  </w:font>
  <w:font w:name="Play">
    <w:charset w:val="00"/>
    <w:family w:val="auto"/>
    <w:pitch w:val="default"/>
    <w:embedRegular r:id="rId4" w:fontKey="{7571FAAE-12EF-49E5-A61B-99083F75B74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B0DD955-2FB8-45F4-B3F1-71E0DC3469AB}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  <w:embedRegular r:id="rId6" w:fontKey="{31C4CF7E-D831-4F37-B8F8-274289E20267}"/>
    <w:embedBold r:id="rId7" w:fontKey="{E87E3525-F5AF-4A49-83BC-BD3262E2AD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98"/>
    <w:rsid w:val="00064DDC"/>
    <w:rsid w:val="000F2398"/>
    <w:rsid w:val="00A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1B98"/>
  <w15:docId w15:val="{5967B4AA-5BF2-403A-82F8-539920E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F9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9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9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F97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2wuBpu7UMEWwaFWovtk4bBtNg==">CgMxLjA4AHIhMXh6OUhWcC13enR0LTlhUGhVbkRuTld0QWdXOGxxSENl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4992</Characters>
  <Application>Microsoft Office Word</Application>
  <DocSecurity>0</DocSecurity>
  <Lines>67</Lines>
  <Paragraphs>12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Rodkin</dc:creator>
  <cp:lastModifiedBy>Ellen DeStefano</cp:lastModifiedBy>
  <cp:revision>2</cp:revision>
  <dcterms:created xsi:type="dcterms:W3CDTF">2026-01-23T17:58:00Z</dcterms:created>
  <dcterms:modified xsi:type="dcterms:W3CDTF">2026-01-23T17:58:00Z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329a4673-f05d-4bc4-bf5d-549b296f8ba6</vt:lpwstr>
  </property>
</Properties>
</file>